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25" w:type="dxa"/>
        <w:tblInd w:w="-270" w:type="dxa"/>
        <w:tblLook w:val="04A0"/>
      </w:tblPr>
      <w:tblGrid>
        <w:gridCol w:w="2096"/>
        <w:gridCol w:w="7429"/>
      </w:tblGrid>
      <w:tr w:rsidR="00B67548" w:rsidRPr="00E627B8" w:rsidTr="009071D1">
        <w:trPr>
          <w:trHeight w:val="270"/>
        </w:trPr>
        <w:tc>
          <w:tcPr>
            <w:tcW w:w="2096" w:type="dxa"/>
            <w:tcBorders>
              <w:bottom w:val="single" w:sz="6" w:space="0" w:color="000000"/>
              <w:right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rsidTr="009071D1">
        <w:tc>
          <w:tcPr>
            <w:tcW w:w="2096" w:type="dxa"/>
            <w:tcBorders>
              <w:top w:val="single" w:sz="6" w:space="0" w:color="000000"/>
              <w:bottom w:val="single" w:sz="6" w:space="0" w:color="000000"/>
              <w:right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rsidTr="009071D1">
        <w:tc>
          <w:tcPr>
            <w:tcW w:w="2096" w:type="dxa"/>
            <w:tcBorders>
              <w:top w:val="single" w:sz="6" w:space="0" w:color="000000"/>
              <w:bottom w:val="single" w:sz="6" w:space="0" w:color="000000"/>
              <w:right w:val="single" w:sz="6" w:space="0" w:color="000000"/>
            </w:tcBorders>
            <w:shd w:val="clear" w:color="auto" w:fill="auto"/>
          </w:tcPr>
          <w:p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rsidTr="009071D1">
        <w:trPr>
          <w:trHeight w:val="367"/>
        </w:trPr>
        <w:tc>
          <w:tcPr>
            <w:tcW w:w="2096" w:type="dxa"/>
            <w:tcBorders>
              <w:top w:val="single" w:sz="6" w:space="0" w:color="000000"/>
              <w:bottom w:val="single" w:sz="6" w:space="0" w:color="000000"/>
              <w:right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rsidR="00B67548" w:rsidRPr="00E627B8" w:rsidRDefault="007F0734" w:rsidP="009071D1">
            <w:pPr>
              <w:rPr>
                <w:rFonts w:ascii="Helvetica" w:hAnsi="Helvetica"/>
                <w:sz w:val="22"/>
              </w:rPr>
            </w:pPr>
            <w:r>
              <w:rPr>
                <w:rFonts w:ascii="Helvetica" w:hAnsi="Helvetica"/>
                <w:sz w:val="22"/>
              </w:rPr>
              <w:t>4</w:t>
            </w:r>
            <w:r w:rsidRPr="007F0734">
              <w:rPr>
                <w:rFonts w:ascii="Helvetica" w:hAnsi="Helvetica"/>
                <w:sz w:val="22"/>
                <w:vertAlign w:val="superscript"/>
              </w:rPr>
              <w:t>th</w:t>
            </w:r>
            <w:r>
              <w:rPr>
                <w:rFonts w:ascii="Helvetica" w:hAnsi="Helvetica"/>
                <w:sz w:val="22"/>
              </w:rPr>
              <w:t xml:space="preserve"> </w:t>
            </w:r>
            <w:r w:rsidR="004B52EE">
              <w:rPr>
                <w:rFonts w:ascii="Helvetica" w:hAnsi="Helvetica"/>
                <w:sz w:val="22"/>
              </w:rPr>
              <w:t>September</w:t>
            </w:r>
            <w:r w:rsidR="00B67548" w:rsidRPr="00E627B8">
              <w:rPr>
                <w:rFonts w:ascii="Helvetica" w:hAnsi="Helvetica"/>
                <w:sz w:val="22"/>
              </w:rPr>
              <w:t xml:space="preserve"> 2021</w:t>
            </w:r>
          </w:p>
        </w:tc>
      </w:tr>
      <w:tr w:rsidR="00B67548" w:rsidRPr="00E627B8" w:rsidTr="009071D1">
        <w:trPr>
          <w:trHeight w:val="420"/>
        </w:trPr>
        <w:tc>
          <w:tcPr>
            <w:tcW w:w="2096" w:type="dxa"/>
            <w:tcBorders>
              <w:top w:val="single" w:sz="6" w:space="0" w:color="000000"/>
              <w:right w:val="single" w:sz="6" w:space="0" w:color="000000"/>
            </w:tcBorders>
            <w:shd w:val="clear" w:color="auto" w:fill="auto"/>
          </w:tcPr>
          <w:p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rsidR="00B67548" w:rsidRPr="00E627B8" w:rsidRDefault="00040A98"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rsidR="00F01043" w:rsidRDefault="00F01043" w:rsidP="007906E3">
      <w:pPr>
        <w:rPr>
          <w:rFonts w:ascii="Helvetica" w:hAnsi="Helvetica"/>
          <w:b/>
          <w:bCs/>
          <w:sz w:val="22"/>
          <w:szCs w:val="22"/>
          <w:u w:val="single"/>
        </w:rPr>
      </w:pPr>
    </w:p>
    <w:p w:rsidR="007F0734" w:rsidRPr="007F0734" w:rsidRDefault="007F0734" w:rsidP="007F0734">
      <w:pPr>
        <w:rPr>
          <w:rFonts w:ascii="Helvetica" w:hAnsi="Helvetica"/>
          <w:sz w:val="22"/>
          <w:szCs w:val="22"/>
        </w:rPr>
      </w:pPr>
    </w:p>
    <w:p w:rsidR="007F0734" w:rsidRPr="007F0734" w:rsidRDefault="00CA4688" w:rsidP="007F0734">
      <w:pPr>
        <w:rPr>
          <w:rFonts w:ascii="Helvetica" w:hAnsi="Helvetica"/>
          <w:b/>
          <w:bCs/>
          <w:sz w:val="22"/>
          <w:szCs w:val="22"/>
        </w:rPr>
      </w:pPr>
      <w:r>
        <w:rPr>
          <w:rFonts w:ascii="Helvetica" w:hAnsi="Helvetica"/>
          <w:b/>
          <w:bCs/>
          <w:sz w:val="22"/>
          <w:szCs w:val="22"/>
        </w:rPr>
        <w:t>E</w:t>
      </w:r>
      <w:r w:rsidR="007F0734" w:rsidRPr="007F0734">
        <w:rPr>
          <w:rFonts w:ascii="Helvetica" w:hAnsi="Helvetica"/>
          <w:b/>
          <w:bCs/>
          <w:sz w:val="22"/>
          <w:szCs w:val="22"/>
        </w:rPr>
        <w:t>ngagement</w:t>
      </w:r>
      <w:r>
        <w:rPr>
          <w:rFonts w:ascii="Helvetica" w:hAnsi="Helvetica"/>
          <w:b/>
          <w:bCs/>
          <w:sz w:val="22"/>
          <w:szCs w:val="22"/>
        </w:rPr>
        <w:t xml:space="preserve"> for the new OCC strategic plan and 2022-3 budget</w:t>
      </w:r>
    </w:p>
    <w:p w:rsidR="00CA4688" w:rsidRDefault="00CA4688" w:rsidP="00CA4688">
      <w:pPr>
        <w:rPr>
          <w:rFonts w:ascii="Helvetica" w:hAnsi="Helvetica"/>
          <w:sz w:val="22"/>
          <w:szCs w:val="22"/>
        </w:rPr>
      </w:pPr>
      <w:r>
        <w:rPr>
          <w:rFonts w:ascii="Helvetica" w:hAnsi="Helvetica"/>
          <w:sz w:val="22"/>
          <w:szCs w:val="22"/>
        </w:rPr>
        <w:t>As a result of the change of administration to the cross-party Oxfordshire Fair Deal Alliance, o</w:t>
      </w:r>
      <w:r w:rsidR="007F0734" w:rsidRPr="007F0734">
        <w:rPr>
          <w:rFonts w:ascii="Helvetica" w:hAnsi="Helvetica"/>
          <w:sz w:val="22"/>
          <w:szCs w:val="22"/>
        </w:rPr>
        <w:t xml:space="preserve">ver the next month </w:t>
      </w:r>
      <w:r w:rsidR="007F0734">
        <w:rPr>
          <w:rFonts w:ascii="Helvetica" w:hAnsi="Helvetica"/>
          <w:sz w:val="22"/>
          <w:szCs w:val="22"/>
        </w:rPr>
        <w:t>the County Council</w:t>
      </w:r>
      <w:r w:rsidR="007F0734" w:rsidRPr="007F0734">
        <w:rPr>
          <w:rFonts w:ascii="Helvetica" w:hAnsi="Helvetica"/>
          <w:sz w:val="22"/>
          <w:szCs w:val="22"/>
        </w:rPr>
        <w:t xml:space="preserve"> are carrying out an intensive period of </w:t>
      </w:r>
      <w:r>
        <w:rPr>
          <w:rFonts w:ascii="Helvetica" w:hAnsi="Helvetica"/>
          <w:sz w:val="22"/>
          <w:szCs w:val="22"/>
        </w:rPr>
        <w:t xml:space="preserve">various </w:t>
      </w:r>
      <w:r w:rsidR="007F0734" w:rsidRPr="007F0734">
        <w:rPr>
          <w:rFonts w:ascii="Helvetica" w:hAnsi="Helvetica"/>
          <w:sz w:val="22"/>
          <w:szCs w:val="22"/>
        </w:rPr>
        <w:t xml:space="preserve">public and stakeholder engagement </w:t>
      </w:r>
      <w:r>
        <w:rPr>
          <w:rFonts w:ascii="Helvetica" w:hAnsi="Helvetica"/>
          <w:sz w:val="22"/>
          <w:szCs w:val="22"/>
        </w:rPr>
        <w:t xml:space="preserve">activities </w:t>
      </w:r>
      <w:r w:rsidR="007F0734" w:rsidRPr="007F0734">
        <w:rPr>
          <w:rFonts w:ascii="Helvetica" w:hAnsi="Helvetica"/>
          <w:sz w:val="22"/>
          <w:szCs w:val="22"/>
        </w:rPr>
        <w:t xml:space="preserve">to support the development of the council’s new strategic plan </w:t>
      </w:r>
      <w:r>
        <w:rPr>
          <w:rFonts w:ascii="Helvetica" w:hAnsi="Helvetica"/>
          <w:sz w:val="22"/>
          <w:szCs w:val="22"/>
        </w:rPr>
        <w:t xml:space="preserve">to support the new administration’s policies, </w:t>
      </w:r>
      <w:r w:rsidR="007F0734" w:rsidRPr="007F0734">
        <w:rPr>
          <w:rFonts w:ascii="Helvetica" w:hAnsi="Helvetica"/>
          <w:sz w:val="22"/>
          <w:szCs w:val="22"/>
        </w:rPr>
        <w:t xml:space="preserve">and </w:t>
      </w:r>
      <w:r>
        <w:rPr>
          <w:rFonts w:ascii="Helvetica" w:hAnsi="Helvetica"/>
          <w:sz w:val="22"/>
          <w:szCs w:val="22"/>
        </w:rPr>
        <w:t xml:space="preserve"> consequently the </w:t>
      </w:r>
      <w:r w:rsidR="007F0734" w:rsidRPr="007F0734">
        <w:rPr>
          <w:rFonts w:ascii="Helvetica" w:hAnsi="Helvetica"/>
          <w:sz w:val="22"/>
          <w:szCs w:val="22"/>
        </w:rPr>
        <w:t xml:space="preserve">2022/23 budget priorities. There are five strands of activity: </w:t>
      </w:r>
    </w:p>
    <w:p w:rsidR="00CA4688" w:rsidRPr="007F0734" w:rsidRDefault="007F0734" w:rsidP="00CA4688">
      <w:pPr>
        <w:rPr>
          <w:rFonts w:ascii="Helvetica" w:hAnsi="Helvetica"/>
          <w:sz w:val="22"/>
          <w:szCs w:val="22"/>
        </w:rPr>
      </w:pPr>
      <w:proofErr w:type="spellStart"/>
      <w:r w:rsidRPr="007F0734">
        <w:rPr>
          <w:rFonts w:ascii="Helvetica" w:hAnsi="Helvetica"/>
          <w:sz w:val="22"/>
          <w:szCs w:val="22"/>
        </w:rPr>
        <w:t>i</w:t>
      </w:r>
      <w:proofErr w:type="spellEnd"/>
      <w:r w:rsidRPr="007F0734">
        <w:rPr>
          <w:rFonts w:ascii="Helvetica" w:hAnsi="Helvetica"/>
          <w:sz w:val="22"/>
          <w:szCs w:val="22"/>
        </w:rPr>
        <w:t>) a residents’ satisfaction survey being sent to over 4,800 randomly selected households across the county</w:t>
      </w:r>
      <w:r w:rsidR="00CA4688">
        <w:rPr>
          <w:rFonts w:ascii="Helvetica" w:hAnsi="Helvetica"/>
          <w:sz w:val="22"/>
          <w:szCs w:val="22"/>
        </w:rPr>
        <w:t xml:space="preserve"> -</w:t>
      </w:r>
      <w:r w:rsidR="00CA4688" w:rsidRPr="007F0734">
        <w:rPr>
          <w:rFonts w:ascii="Helvetica" w:hAnsi="Helvetica"/>
          <w:sz w:val="22"/>
          <w:szCs w:val="22"/>
        </w:rPr>
        <w:t>it is entirely voluntary, but we would love to hear their views</w:t>
      </w:r>
    </w:p>
    <w:p w:rsidR="00CA4688" w:rsidRDefault="007F0734" w:rsidP="007F0734">
      <w:pPr>
        <w:rPr>
          <w:rFonts w:ascii="Helvetica" w:hAnsi="Helvetica"/>
          <w:sz w:val="22"/>
          <w:szCs w:val="22"/>
        </w:rPr>
      </w:pPr>
      <w:r w:rsidRPr="007F0734">
        <w:rPr>
          <w:rFonts w:ascii="Helvetica" w:hAnsi="Helvetica"/>
          <w:sz w:val="22"/>
          <w:szCs w:val="22"/>
        </w:rPr>
        <w:t xml:space="preserve">ii) </w:t>
      </w:r>
      <w:proofErr w:type="gramStart"/>
      <w:r w:rsidRPr="007F0734">
        <w:rPr>
          <w:rFonts w:ascii="Helvetica" w:hAnsi="Helvetica"/>
          <w:sz w:val="22"/>
          <w:szCs w:val="22"/>
        </w:rPr>
        <w:t>discussion</w:t>
      </w:r>
      <w:proofErr w:type="gramEnd"/>
      <w:r w:rsidRPr="007F0734">
        <w:rPr>
          <w:rFonts w:ascii="Helvetica" w:hAnsi="Helvetica"/>
          <w:sz w:val="22"/>
          <w:szCs w:val="22"/>
        </w:rPr>
        <w:t xml:space="preserve"> groups for adults; </w:t>
      </w:r>
    </w:p>
    <w:p w:rsidR="00CA4688" w:rsidRDefault="007F0734" w:rsidP="007F0734">
      <w:pPr>
        <w:rPr>
          <w:rFonts w:ascii="Helvetica" w:hAnsi="Helvetica"/>
          <w:sz w:val="22"/>
          <w:szCs w:val="22"/>
        </w:rPr>
      </w:pPr>
      <w:r w:rsidRPr="007F0734">
        <w:rPr>
          <w:rFonts w:ascii="Helvetica" w:hAnsi="Helvetica"/>
          <w:sz w:val="22"/>
          <w:szCs w:val="22"/>
        </w:rPr>
        <w:t xml:space="preserve">iii) </w:t>
      </w:r>
      <w:proofErr w:type="gramStart"/>
      <w:r w:rsidRPr="007F0734">
        <w:rPr>
          <w:rFonts w:ascii="Helvetica" w:hAnsi="Helvetica"/>
          <w:sz w:val="22"/>
          <w:szCs w:val="22"/>
        </w:rPr>
        <w:t>discussion</w:t>
      </w:r>
      <w:proofErr w:type="gramEnd"/>
      <w:r w:rsidRPr="007F0734">
        <w:rPr>
          <w:rFonts w:ascii="Helvetica" w:hAnsi="Helvetica"/>
          <w:sz w:val="22"/>
          <w:szCs w:val="22"/>
        </w:rPr>
        <w:t xml:space="preserve"> groups for children and young people; </w:t>
      </w:r>
    </w:p>
    <w:p w:rsidR="00CA4688" w:rsidRDefault="007F0734" w:rsidP="007F0734">
      <w:pPr>
        <w:rPr>
          <w:rFonts w:ascii="Helvetica" w:hAnsi="Helvetica"/>
          <w:sz w:val="22"/>
          <w:szCs w:val="22"/>
        </w:rPr>
      </w:pPr>
      <w:r w:rsidRPr="007F0734">
        <w:rPr>
          <w:rFonts w:ascii="Helvetica" w:hAnsi="Helvetica"/>
          <w:sz w:val="22"/>
          <w:szCs w:val="22"/>
        </w:rPr>
        <w:t xml:space="preserve">iv) stakeholder workshops; and </w:t>
      </w:r>
    </w:p>
    <w:p w:rsidR="00CA4688" w:rsidRDefault="007F0734" w:rsidP="007F0734">
      <w:pPr>
        <w:rPr>
          <w:rFonts w:ascii="Helvetica" w:hAnsi="Helvetica"/>
          <w:sz w:val="22"/>
          <w:szCs w:val="22"/>
        </w:rPr>
      </w:pPr>
      <w:r w:rsidRPr="007F0734">
        <w:rPr>
          <w:rFonts w:ascii="Helvetica" w:hAnsi="Helvetica"/>
          <w:sz w:val="22"/>
          <w:szCs w:val="22"/>
        </w:rPr>
        <w:t xml:space="preserve">v) councillor engagement. </w:t>
      </w:r>
    </w:p>
    <w:p w:rsidR="00CA4688" w:rsidRDefault="00CA4688" w:rsidP="007F0734">
      <w:pPr>
        <w:rPr>
          <w:rFonts w:ascii="Helvetica" w:hAnsi="Helvetica"/>
          <w:sz w:val="22"/>
          <w:szCs w:val="22"/>
        </w:rPr>
      </w:pPr>
    </w:p>
    <w:p w:rsidR="007F0734" w:rsidRPr="007F0734" w:rsidRDefault="007F0734" w:rsidP="007F0734">
      <w:pPr>
        <w:rPr>
          <w:rFonts w:ascii="Helvetica" w:hAnsi="Helvetica"/>
          <w:sz w:val="22"/>
          <w:szCs w:val="22"/>
        </w:rPr>
      </w:pPr>
      <w:r w:rsidRPr="007F0734">
        <w:rPr>
          <w:rFonts w:ascii="Helvetica" w:hAnsi="Helvetica"/>
          <w:sz w:val="22"/>
          <w:szCs w:val="22"/>
        </w:rPr>
        <w:t xml:space="preserve">Most of the public and stakeholder engagement will happen in October, with some strands continuing into November. Consultation on the council’s budget proposals will start in early December to coincide with the publication of budget and business planning papers. </w:t>
      </w:r>
    </w:p>
    <w:p w:rsidR="007F0734" w:rsidRPr="007F0734" w:rsidRDefault="007F0734" w:rsidP="007F0734">
      <w:pPr>
        <w:rPr>
          <w:rFonts w:ascii="Helvetica" w:hAnsi="Helvetica"/>
          <w:sz w:val="22"/>
          <w:szCs w:val="22"/>
        </w:rPr>
      </w:pPr>
      <w:r w:rsidRPr="007F0734">
        <w:rPr>
          <w:rFonts w:ascii="Helvetica" w:hAnsi="Helvetica"/>
          <w:sz w:val="22"/>
          <w:szCs w:val="22"/>
        </w:rPr>
        <w:t xml:space="preserve"> </w:t>
      </w:r>
    </w:p>
    <w:p w:rsidR="007F0734" w:rsidRPr="007F0734" w:rsidRDefault="007F0734" w:rsidP="007F0734">
      <w:pPr>
        <w:rPr>
          <w:rFonts w:ascii="Helvetica" w:hAnsi="Helvetica"/>
          <w:b/>
          <w:bCs/>
          <w:sz w:val="22"/>
          <w:szCs w:val="22"/>
        </w:rPr>
      </w:pPr>
      <w:r w:rsidRPr="007F0734">
        <w:rPr>
          <w:rFonts w:ascii="Helvetica" w:hAnsi="Helvetica"/>
          <w:b/>
          <w:bCs/>
          <w:sz w:val="22"/>
          <w:szCs w:val="22"/>
        </w:rPr>
        <w:t>The Future Oxfordshire Partnership</w:t>
      </w:r>
    </w:p>
    <w:p w:rsidR="007F0734" w:rsidRPr="007F0734" w:rsidRDefault="007F0734" w:rsidP="007F0734">
      <w:pPr>
        <w:rPr>
          <w:rFonts w:ascii="Helvetica" w:hAnsi="Helvetica"/>
          <w:sz w:val="22"/>
          <w:szCs w:val="22"/>
        </w:rPr>
      </w:pPr>
      <w:r w:rsidRPr="007F0734">
        <w:rPr>
          <w:rFonts w:ascii="Helvetica" w:hAnsi="Helvetica"/>
          <w:sz w:val="22"/>
          <w:szCs w:val="22"/>
        </w:rPr>
        <w:t>The Oxfordshire Growth Board has formally changed its name to The Future Oxfordshire Partnership</w:t>
      </w:r>
      <w:r w:rsidR="00CA4688">
        <w:rPr>
          <w:rFonts w:ascii="Helvetica" w:hAnsi="Helvetica"/>
          <w:sz w:val="22"/>
          <w:szCs w:val="22"/>
        </w:rPr>
        <w:t xml:space="preserve">, something many of us have long been campaigning for – names matter – and the new name also indicates a change in priorities. </w:t>
      </w:r>
      <w:r w:rsidRPr="007F0734">
        <w:rPr>
          <w:rFonts w:ascii="Helvetica" w:hAnsi="Helvetica"/>
          <w:sz w:val="22"/>
          <w:szCs w:val="22"/>
        </w:rPr>
        <w:t xml:space="preserve">Following a public review in 2020, the Partnership </w:t>
      </w:r>
      <w:r w:rsidR="00CA4688">
        <w:rPr>
          <w:rFonts w:ascii="Helvetica" w:hAnsi="Helvetica"/>
          <w:sz w:val="22"/>
          <w:szCs w:val="22"/>
        </w:rPr>
        <w:t xml:space="preserve">- </w:t>
      </w:r>
      <w:r w:rsidR="00CA4688" w:rsidRPr="007F0734">
        <w:rPr>
          <w:rFonts w:ascii="Helvetica" w:hAnsi="Helvetica"/>
          <w:sz w:val="22"/>
          <w:szCs w:val="22"/>
        </w:rPr>
        <w:t xml:space="preserve">a joint committee of the six councils of Oxfordshire together with key strategic partners </w:t>
      </w:r>
      <w:r w:rsidR="00CA4688">
        <w:rPr>
          <w:rFonts w:ascii="Helvetica" w:hAnsi="Helvetica"/>
          <w:sz w:val="22"/>
          <w:szCs w:val="22"/>
        </w:rPr>
        <w:t xml:space="preserve">- </w:t>
      </w:r>
      <w:r w:rsidRPr="007F0734">
        <w:rPr>
          <w:rFonts w:ascii="Helvetica" w:hAnsi="Helvetica"/>
          <w:sz w:val="22"/>
          <w:szCs w:val="22"/>
        </w:rPr>
        <w:t>adopted a new purpose, which is to:</w:t>
      </w:r>
    </w:p>
    <w:p w:rsidR="007F0734" w:rsidRPr="007F0734" w:rsidRDefault="007F0734" w:rsidP="007F0734">
      <w:pPr>
        <w:rPr>
          <w:rFonts w:ascii="Helvetica" w:hAnsi="Helvetica"/>
          <w:sz w:val="22"/>
          <w:szCs w:val="22"/>
        </w:rPr>
      </w:pPr>
      <w:r w:rsidRPr="007F0734">
        <w:rPr>
          <w:rFonts w:ascii="Helvetica" w:hAnsi="Helvetica"/>
          <w:sz w:val="22"/>
          <w:szCs w:val="22"/>
        </w:rPr>
        <w:t>•</w:t>
      </w:r>
      <w:r w:rsidR="00AC3301">
        <w:rPr>
          <w:rFonts w:ascii="Helvetica" w:hAnsi="Helvetica"/>
          <w:sz w:val="22"/>
          <w:szCs w:val="22"/>
        </w:rPr>
        <w:t xml:space="preserve"> </w:t>
      </w:r>
      <w:r w:rsidRPr="007F0734">
        <w:rPr>
          <w:rFonts w:ascii="Helvetica" w:hAnsi="Helvetica"/>
          <w:sz w:val="22"/>
          <w:szCs w:val="22"/>
        </w:rPr>
        <w:t>Coordinate local efforts to manage economic, housing, and infrastructure development in a way that is inclusive and maximises local social and environmental benefits</w:t>
      </w:r>
    </w:p>
    <w:p w:rsidR="007F0734" w:rsidRPr="007F0734" w:rsidRDefault="007F0734" w:rsidP="007F0734">
      <w:pPr>
        <w:rPr>
          <w:rFonts w:ascii="Helvetica" w:hAnsi="Helvetica"/>
          <w:sz w:val="22"/>
          <w:szCs w:val="22"/>
        </w:rPr>
      </w:pPr>
      <w:r w:rsidRPr="007F0734">
        <w:rPr>
          <w:rFonts w:ascii="Helvetica" w:hAnsi="Helvetica"/>
          <w:sz w:val="22"/>
          <w:szCs w:val="22"/>
        </w:rPr>
        <w:t>•</w:t>
      </w:r>
      <w:r w:rsidR="00AC3301">
        <w:rPr>
          <w:rFonts w:ascii="Helvetica" w:hAnsi="Helvetica"/>
          <w:sz w:val="22"/>
          <w:szCs w:val="22"/>
        </w:rPr>
        <w:t xml:space="preserve"> </w:t>
      </w:r>
      <w:r w:rsidRPr="007F0734">
        <w:rPr>
          <w:rFonts w:ascii="Helvetica" w:hAnsi="Helvetica"/>
          <w:sz w:val="22"/>
          <w:szCs w:val="22"/>
        </w:rPr>
        <w:t>Support the development of local planning policy that meets the UK Government’s stated aim of net-zero carbon by 2050, and contributes towards biodiversity gain whilst embracing the changes needed for a low carbon world</w:t>
      </w:r>
    </w:p>
    <w:p w:rsidR="007F0734" w:rsidRPr="007F0734" w:rsidRDefault="007F0734" w:rsidP="007F0734">
      <w:pPr>
        <w:rPr>
          <w:rFonts w:ascii="Helvetica" w:hAnsi="Helvetica"/>
          <w:sz w:val="22"/>
          <w:szCs w:val="22"/>
        </w:rPr>
      </w:pPr>
      <w:r w:rsidRPr="007F0734">
        <w:rPr>
          <w:rFonts w:ascii="Helvetica" w:hAnsi="Helvetica"/>
          <w:sz w:val="22"/>
          <w:szCs w:val="22"/>
        </w:rPr>
        <w:t>•</w:t>
      </w:r>
      <w:r w:rsidR="00AC3301">
        <w:rPr>
          <w:rFonts w:ascii="Helvetica" w:hAnsi="Helvetica"/>
          <w:sz w:val="22"/>
          <w:szCs w:val="22"/>
        </w:rPr>
        <w:t xml:space="preserve"> </w:t>
      </w:r>
      <w:r w:rsidRPr="007F0734">
        <w:rPr>
          <w:rFonts w:ascii="Helvetica" w:hAnsi="Helvetica"/>
          <w:sz w:val="22"/>
          <w:szCs w:val="22"/>
        </w:rPr>
        <w:t>Seek to secure funding in the pursuit of these aims and oversee the delivery of related work programmes delegated to it by the Joint Committee’s constituent local authority members.</w:t>
      </w:r>
    </w:p>
    <w:p w:rsidR="007F0734" w:rsidRPr="007F0734" w:rsidRDefault="007F0734" w:rsidP="007F0734">
      <w:pPr>
        <w:rPr>
          <w:rFonts w:ascii="Helvetica" w:hAnsi="Helvetica"/>
          <w:sz w:val="22"/>
          <w:szCs w:val="22"/>
        </w:rPr>
      </w:pPr>
    </w:p>
    <w:p w:rsidR="007F0734" w:rsidRPr="007F0734" w:rsidRDefault="007F0734" w:rsidP="007F0734">
      <w:pPr>
        <w:rPr>
          <w:rFonts w:ascii="Helvetica" w:hAnsi="Helvetica"/>
          <w:b/>
          <w:bCs/>
          <w:sz w:val="22"/>
          <w:szCs w:val="22"/>
        </w:rPr>
      </w:pPr>
      <w:r w:rsidRPr="007F0734">
        <w:rPr>
          <w:rFonts w:ascii="Helvetica" w:hAnsi="Helvetica"/>
          <w:b/>
          <w:bCs/>
          <w:sz w:val="22"/>
          <w:szCs w:val="22"/>
        </w:rPr>
        <w:t xml:space="preserve">River </w:t>
      </w:r>
      <w:proofErr w:type="spellStart"/>
      <w:r w:rsidRPr="007F0734">
        <w:rPr>
          <w:rFonts w:ascii="Helvetica" w:hAnsi="Helvetica"/>
          <w:b/>
          <w:bCs/>
          <w:sz w:val="22"/>
          <w:szCs w:val="22"/>
        </w:rPr>
        <w:t>Ock</w:t>
      </w:r>
      <w:proofErr w:type="spellEnd"/>
      <w:r w:rsidRPr="007F0734">
        <w:rPr>
          <w:rFonts w:ascii="Helvetica" w:hAnsi="Helvetica"/>
          <w:b/>
          <w:bCs/>
          <w:sz w:val="22"/>
          <w:szCs w:val="22"/>
        </w:rPr>
        <w:t xml:space="preserve"> – feasibility studies </w:t>
      </w:r>
    </w:p>
    <w:p w:rsidR="007F0734" w:rsidRPr="007F0734" w:rsidRDefault="007F0734" w:rsidP="007F0734">
      <w:pPr>
        <w:rPr>
          <w:rFonts w:ascii="Helvetica" w:hAnsi="Helvetica"/>
          <w:sz w:val="22"/>
          <w:szCs w:val="22"/>
        </w:rPr>
      </w:pPr>
      <w:r w:rsidRPr="007F0734">
        <w:rPr>
          <w:rFonts w:ascii="Helvetica" w:hAnsi="Helvetica"/>
          <w:sz w:val="22"/>
          <w:szCs w:val="22"/>
        </w:rPr>
        <w:t xml:space="preserve">The Environment Agency (EA) has concluded recent feasibility studies looking at both natural flood management and engineered flood risk interventions in the River </w:t>
      </w:r>
      <w:proofErr w:type="spellStart"/>
      <w:r w:rsidRPr="007F0734">
        <w:rPr>
          <w:rFonts w:ascii="Helvetica" w:hAnsi="Helvetica"/>
          <w:sz w:val="22"/>
          <w:szCs w:val="22"/>
        </w:rPr>
        <w:t>Ock</w:t>
      </w:r>
      <w:proofErr w:type="spellEnd"/>
      <w:r w:rsidRPr="007F0734">
        <w:rPr>
          <w:rFonts w:ascii="Helvetica" w:hAnsi="Helvetica"/>
          <w:sz w:val="22"/>
          <w:szCs w:val="22"/>
        </w:rPr>
        <w:t xml:space="preserve"> catchment of Abingdon.</w:t>
      </w:r>
      <w:r w:rsidR="00CA4688">
        <w:rPr>
          <w:rFonts w:ascii="Helvetica" w:hAnsi="Helvetica"/>
          <w:sz w:val="22"/>
          <w:szCs w:val="22"/>
        </w:rPr>
        <w:t xml:space="preserve"> The results should be shared soon.</w:t>
      </w:r>
      <w:r w:rsidRPr="007F0734">
        <w:rPr>
          <w:rFonts w:ascii="Helvetica" w:hAnsi="Helvetica"/>
          <w:sz w:val="22"/>
          <w:szCs w:val="22"/>
        </w:rPr>
        <w:t xml:space="preserve"> </w:t>
      </w:r>
    </w:p>
    <w:p w:rsidR="007F0734" w:rsidRPr="007F0734" w:rsidRDefault="007F0734" w:rsidP="007F0734">
      <w:pPr>
        <w:rPr>
          <w:rFonts w:ascii="Helvetica" w:hAnsi="Helvetica"/>
          <w:sz w:val="22"/>
          <w:szCs w:val="22"/>
        </w:rPr>
      </w:pPr>
      <w:r w:rsidRPr="007F0734">
        <w:rPr>
          <w:rFonts w:ascii="Helvetica" w:hAnsi="Helvetica"/>
          <w:sz w:val="22"/>
          <w:szCs w:val="22"/>
        </w:rPr>
        <w:t xml:space="preserve"> </w:t>
      </w:r>
    </w:p>
    <w:p w:rsidR="007F0734" w:rsidRPr="007F0734" w:rsidRDefault="007F0734" w:rsidP="007F0734">
      <w:pPr>
        <w:rPr>
          <w:rFonts w:ascii="Helvetica" w:hAnsi="Helvetica"/>
          <w:b/>
          <w:bCs/>
          <w:sz w:val="22"/>
          <w:szCs w:val="22"/>
        </w:rPr>
      </w:pPr>
      <w:r w:rsidRPr="007F0734">
        <w:rPr>
          <w:rFonts w:ascii="Helvetica" w:hAnsi="Helvetica"/>
          <w:b/>
          <w:bCs/>
          <w:sz w:val="22"/>
          <w:szCs w:val="22"/>
        </w:rPr>
        <w:t>Start saving, breathing better and moving more this ‘Stoptober’</w:t>
      </w:r>
    </w:p>
    <w:p w:rsidR="007F0734" w:rsidRPr="007F0734" w:rsidRDefault="007F0734" w:rsidP="00CA4688">
      <w:pPr>
        <w:rPr>
          <w:rFonts w:ascii="Helvetica" w:hAnsi="Helvetica"/>
          <w:sz w:val="22"/>
          <w:szCs w:val="22"/>
        </w:rPr>
      </w:pPr>
      <w:r w:rsidRPr="007F0734">
        <w:rPr>
          <w:rFonts w:ascii="Helvetica" w:hAnsi="Helvetica"/>
          <w:sz w:val="22"/>
          <w:szCs w:val="22"/>
        </w:rPr>
        <w:t xml:space="preserve">People from Oxfordshire who </w:t>
      </w:r>
      <w:proofErr w:type="gramStart"/>
      <w:r w:rsidRPr="007F0734">
        <w:rPr>
          <w:rFonts w:ascii="Helvetica" w:hAnsi="Helvetica"/>
          <w:sz w:val="22"/>
          <w:szCs w:val="22"/>
        </w:rPr>
        <w:t>smoke are</w:t>
      </w:r>
      <w:proofErr w:type="gramEnd"/>
      <w:r w:rsidRPr="007F0734">
        <w:rPr>
          <w:rFonts w:ascii="Helvetica" w:hAnsi="Helvetica"/>
          <w:sz w:val="22"/>
          <w:szCs w:val="22"/>
        </w:rPr>
        <w:t xml:space="preserve"> being encouraged to give Stoptober a go and start breathing better, moving more and saving money. In the past 10 years, our free local stop smoking service has helped over 26,000 people make the change. The service gives people top tips on how to manage cravings and tricks to stay </w:t>
      </w:r>
      <w:proofErr w:type="spellStart"/>
      <w:r w:rsidRPr="007F0734">
        <w:rPr>
          <w:rFonts w:ascii="Helvetica" w:hAnsi="Helvetica"/>
          <w:sz w:val="22"/>
          <w:szCs w:val="22"/>
        </w:rPr>
        <w:t>smokefree</w:t>
      </w:r>
      <w:proofErr w:type="spellEnd"/>
      <w:r w:rsidRPr="007F0734">
        <w:rPr>
          <w:rFonts w:ascii="Helvetica" w:hAnsi="Helvetica"/>
          <w:sz w:val="22"/>
          <w:szCs w:val="22"/>
        </w:rPr>
        <w:t xml:space="preserve">. Around one in 10 adults in Oxfordshire smoke. It is estimated that giving up a 10-a-day habit could save on average £36 a week, or £1,800 a year. For those ready to quit, there are known techniques that will increase the chances of stopping for good. Residents can find out more by contacting the local stop smoking service Stop for Life Oxon online or by texting STOPOXFORD to 60777. More information about how to quit smoking is also available on the NHS website. </w:t>
      </w:r>
    </w:p>
    <w:p w:rsidR="007F0734" w:rsidRPr="007F0734" w:rsidRDefault="007F0734" w:rsidP="007F0734">
      <w:pPr>
        <w:rPr>
          <w:rFonts w:ascii="Helvetica" w:hAnsi="Helvetica"/>
          <w:sz w:val="22"/>
          <w:szCs w:val="22"/>
        </w:rPr>
      </w:pPr>
    </w:p>
    <w:p w:rsidR="00AC3301" w:rsidRDefault="00AC3301" w:rsidP="00CA4688">
      <w:pPr>
        <w:rPr>
          <w:rFonts w:ascii="Helvetica" w:hAnsi="Helvetica"/>
          <w:b/>
          <w:bCs/>
          <w:sz w:val="22"/>
          <w:szCs w:val="22"/>
        </w:rPr>
      </w:pPr>
      <w:r>
        <w:rPr>
          <w:rFonts w:ascii="Helvetica" w:hAnsi="Helvetica"/>
          <w:b/>
          <w:bCs/>
          <w:sz w:val="22"/>
          <w:szCs w:val="22"/>
        </w:rPr>
        <w:t xml:space="preserve">COVID-19 UPDATE </w:t>
      </w:r>
    </w:p>
    <w:p w:rsidR="00AC3301" w:rsidRDefault="00AC3301" w:rsidP="00CA4688">
      <w:pPr>
        <w:rPr>
          <w:rFonts w:ascii="Helvetica" w:hAnsi="Helvetica"/>
          <w:b/>
          <w:bCs/>
          <w:sz w:val="22"/>
          <w:szCs w:val="22"/>
        </w:rPr>
      </w:pPr>
    </w:p>
    <w:p w:rsidR="00CA4688" w:rsidRPr="00CA4688" w:rsidRDefault="00CA4688" w:rsidP="00CA4688">
      <w:pPr>
        <w:rPr>
          <w:rFonts w:ascii="Helvetica" w:hAnsi="Helvetica"/>
          <w:sz w:val="22"/>
          <w:szCs w:val="22"/>
        </w:rPr>
      </w:pPr>
      <w:r>
        <w:rPr>
          <w:rFonts w:ascii="Helvetica" w:hAnsi="Helvetica"/>
          <w:b/>
          <w:bCs/>
          <w:sz w:val="22"/>
          <w:szCs w:val="22"/>
        </w:rPr>
        <w:lastRenderedPageBreak/>
        <w:t xml:space="preserve">Covid-19 </w:t>
      </w:r>
      <w:r w:rsidRPr="00CA4688">
        <w:rPr>
          <w:rFonts w:ascii="Helvetica" w:hAnsi="Helvetica"/>
          <w:b/>
          <w:bCs/>
          <w:sz w:val="22"/>
          <w:szCs w:val="22"/>
        </w:rPr>
        <w:t>Vaccinations for younger people</w:t>
      </w:r>
    </w:p>
    <w:p w:rsidR="00CA4688" w:rsidRPr="00CA4688" w:rsidRDefault="00CA4688" w:rsidP="00CA4688">
      <w:pPr>
        <w:rPr>
          <w:rFonts w:ascii="Helvetica" w:hAnsi="Helvetica"/>
          <w:sz w:val="22"/>
          <w:szCs w:val="22"/>
        </w:rPr>
      </w:pPr>
      <w:r w:rsidRPr="00CA4688">
        <w:rPr>
          <w:rFonts w:ascii="Helvetica" w:hAnsi="Helvetica"/>
          <w:sz w:val="22"/>
          <w:szCs w:val="22"/>
        </w:rPr>
        <w:t>Twelve to 15 year olds are now being offered one dose of the COVID-19 vaccine. Healthy school-aged children aged 12 - 15 will primarily receive their COVID-19 vaccination in their school, with alternative provision for those who are home schooled, in secure services or specialist mental health settings. Parental, guardian or carer consent will be sought by vaccination healthcare staff prior to vaccination in line with existing school vaccination programmes. A </w:t>
      </w:r>
      <w:hyperlink r:id="rId6" w:tgtFrame="_blank" w:history="1">
        <w:r w:rsidRPr="00CA4688">
          <w:rPr>
            <w:rStyle w:val="Hyperlink"/>
            <w:rFonts w:ascii="Helvetica" w:hAnsi="Helvetica"/>
            <w:sz w:val="22"/>
            <w:szCs w:val="22"/>
          </w:rPr>
          <w:t>government leaflet</w:t>
        </w:r>
      </w:hyperlink>
      <w:r w:rsidRPr="00CA4688">
        <w:rPr>
          <w:rFonts w:ascii="Helvetica" w:hAnsi="Helvetica"/>
          <w:sz w:val="22"/>
          <w:szCs w:val="22"/>
        </w:rPr>
        <w:t> is available, which explains the vaccination programme for children and young people.</w:t>
      </w:r>
    </w:p>
    <w:p w:rsidR="00CA4688" w:rsidRPr="00CA4688" w:rsidRDefault="00CA4688" w:rsidP="00CA4688">
      <w:pPr>
        <w:rPr>
          <w:rFonts w:ascii="Helvetica" w:hAnsi="Helvetica"/>
          <w:sz w:val="22"/>
          <w:szCs w:val="22"/>
        </w:rPr>
      </w:pPr>
      <w:r w:rsidRPr="00CA4688">
        <w:rPr>
          <w:rFonts w:ascii="Helvetica" w:hAnsi="Helvetica"/>
          <w:sz w:val="22"/>
          <w:szCs w:val="22"/>
        </w:rPr>
        <w:t> </w:t>
      </w:r>
    </w:p>
    <w:p w:rsidR="00CA4688" w:rsidRDefault="00CA4688" w:rsidP="00CA4688">
      <w:pPr>
        <w:rPr>
          <w:rFonts w:ascii="Helvetica" w:hAnsi="Helvetica"/>
          <w:sz w:val="22"/>
          <w:szCs w:val="22"/>
        </w:rPr>
      </w:pPr>
      <w:r w:rsidRPr="00CA4688">
        <w:rPr>
          <w:rFonts w:ascii="Helvetica" w:hAnsi="Helvetica"/>
          <w:b/>
          <w:bCs/>
          <w:sz w:val="22"/>
          <w:szCs w:val="22"/>
        </w:rPr>
        <w:t>Sixteen to 17 year olds</w:t>
      </w:r>
      <w:r w:rsidRPr="00CA4688">
        <w:rPr>
          <w:rFonts w:ascii="Helvetica" w:hAnsi="Helvetica"/>
          <w:sz w:val="22"/>
          <w:szCs w:val="22"/>
        </w:rPr>
        <w:t xml:space="preserve"> in England are being offered a first dose of a COVID-19 vaccine to give them protection now they are back at school and college. Some young people in this age group who are registered with a GP practice in Oxfordshire are being contacted via text, phone, or letter to invite them to get their first jab at a local GP-led vaccination site (LVS). Not all LVSs are offering the vaccine to 16 - 17 year olds. However, anyone aged 16 or over can ‘grab a jab’ at the Kassam Stadium in Oxford, without an appointment. Information is available on the </w:t>
      </w:r>
      <w:hyperlink r:id="rId7" w:tgtFrame="_blank" w:history="1">
        <w:r w:rsidRPr="00CA4688">
          <w:rPr>
            <w:rStyle w:val="Hyperlink"/>
            <w:rFonts w:ascii="Helvetica" w:hAnsi="Helvetica"/>
            <w:sz w:val="22"/>
            <w:szCs w:val="22"/>
          </w:rPr>
          <w:t>NHS Oxfordshire Clinical Commissioning Group’s</w:t>
        </w:r>
      </w:hyperlink>
      <w:r w:rsidRPr="00CA4688">
        <w:rPr>
          <w:rFonts w:ascii="Helvetica" w:hAnsi="Helvetica"/>
          <w:sz w:val="22"/>
          <w:szCs w:val="22"/>
        </w:rPr>
        <w:t> website.</w:t>
      </w:r>
    </w:p>
    <w:p w:rsidR="00CA4688" w:rsidRDefault="00CA4688" w:rsidP="00CA4688">
      <w:pPr>
        <w:rPr>
          <w:rFonts w:ascii="Helvetica" w:hAnsi="Helvetica"/>
          <w:sz w:val="22"/>
          <w:szCs w:val="22"/>
        </w:rPr>
      </w:pPr>
    </w:p>
    <w:p w:rsidR="00CA4688" w:rsidRPr="007F0734" w:rsidRDefault="00CA4688" w:rsidP="00CA4688">
      <w:pPr>
        <w:rPr>
          <w:rFonts w:ascii="Helvetica" w:hAnsi="Helvetica"/>
          <w:sz w:val="22"/>
          <w:szCs w:val="22"/>
        </w:rPr>
      </w:pPr>
      <w:r w:rsidRPr="007F0734">
        <w:rPr>
          <w:rFonts w:ascii="Helvetica" w:hAnsi="Helvetica"/>
          <w:sz w:val="22"/>
          <w:szCs w:val="22"/>
        </w:rPr>
        <w:t xml:space="preserve">More than 100,000 primary and secondary school children in Oxfordshire will </w:t>
      </w:r>
      <w:r>
        <w:rPr>
          <w:rFonts w:ascii="Helvetica" w:hAnsi="Helvetica"/>
          <w:sz w:val="22"/>
          <w:szCs w:val="22"/>
        </w:rPr>
        <w:t xml:space="preserve">also </w:t>
      </w:r>
      <w:r w:rsidRPr="007F0734">
        <w:rPr>
          <w:rFonts w:ascii="Helvetica" w:hAnsi="Helvetica"/>
          <w:sz w:val="22"/>
          <w:szCs w:val="22"/>
        </w:rPr>
        <w:t xml:space="preserve">be offered the opportunity to be immunised against influenza this autumn, with an expanded health protection campaign. </w:t>
      </w:r>
    </w:p>
    <w:p w:rsidR="00CA4688" w:rsidRPr="00CA4688" w:rsidRDefault="00CA4688" w:rsidP="00CA4688">
      <w:pPr>
        <w:rPr>
          <w:rFonts w:ascii="Helvetica" w:hAnsi="Helvetica"/>
          <w:sz w:val="22"/>
          <w:szCs w:val="22"/>
        </w:rPr>
      </w:pPr>
    </w:p>
    <w:p w:rsidR="00CA4688" w:rsidRPr="00CA4688" w:rsidRDefault="00CA4688" w:rsidP="00CA4688">
      <w:pPr>
        <w:rPr>
          <w:rFonts w:ascii="Helvetica" w:hAnsi="Helvetica"/>
          <w:sz w:val="22"/>
          <w:szCs w:val="22"/>
        </w:rPr>
      </w:pPr>
      <w:r w:rsidRPr="00CA4688">
        <w:rPr>
          <w:rFonts w:ascii="Helvetica" w:hAnsi="Helvetica"/>
          <w:sz w:val="22"/>
          <w:szCs w:val="22"/>
        </w:rPr>
        <w:t>If you are aged 18 or over, you can </w:t>
      </w:r>
      <w:hyperlink r:id="rId8" w:tgtFrame="_blank" w:history="1">
        <w:r w:rsidRPr="00CA4688">
          <w:rPr>
            <w:rStyle w:val="Hyperlink"/>
            <w:rFonts w:ascii="Helvetica" w:hAnsi="Helvetica"/>
            <w:sz w:val="22"/>
            <w:szCs w:val="22"/>
          </w:rPr>
          <w:t>book a vaccination</w:t>
        </w:r>
      </w:hyperlink>
      <w:r w:rsidRPr="00CA4688">
        <w:rPr>
          <w:rFonts w:ascii="Helvetica" w:hAnsi="Helvetica"/>
          <w:sz w:val="22"/>
          <w:szCs w:val="22"/>
        </w:rPr>
        <w:t> on the national booking service (people do not need to wait to be invited). The timing for the second dose is eight weeks for all. The latest vaccination figures are updated daily at the </w:t>
      </w:r>
      <w:hyperlink r:id="rId9" w:tgtFrame="_blank" w:history="1">
        <w:r w:rsidRPr="00CA4688">
          <w:rPr>
            <w:rStyle w:val="Hyperlink"/>
            <w:rFonts w:ascii="Helvetica" w:hAnsi="Helvetica"/>
            <w:sz w:val="22"/>
            <w:szCs w:val="22"/>
          </w:rPr>
          <w:t>NHS England website</w:t>
        </w:r>
      </w:hyperlink>
      <w:r w:rsidRPr="00CA4688">
        <w:rPr>
          <w:rFonts w:ascii="Helvetica" w:hAnsi="Helvetica"/>
          <w:sz w:val="22"/>
          <w:szCs w:val="22"/>
        </w:rPr>
        <w:t>.</w:t>
      </w:r>
    </w:p>
    <w:p w:rsidR="00CA4688" w:rsidRPr="00CA4688" w:rsidRDefault="00CA4688" w:rsidP="00CA4688">
      <w:pPr>
        <w:rPr>
          <w:rFonts w:ascii="Helvetica" w:hAnsi="Helvetica"/>
          <w:sz w:val="22"/>
          <w:szCs w:val="22"/>
        </w:rPr>
      </w:pPr>
      <w:r w:rsidRPr="00CA4688">
        <w:rPr>
          <w:rFonts w:ascii="Helvetica" w:hAnsi="Helvetica"/>
          <w:sz w:val="22"/>
          <w:szCs w:val="22"/>
        </w:rPr>
        <w:t> </w:t>
      </w:r>
    </w:p>
    <w:p w:rsidR="00CA4688" w:rsidRPr="00CA4688" w:rsidRDefault="00CA4688" w:rsidP="00CA4688">
      <w:pPr>
        <w:rPr>
          <w:rFonts w:ascii="Helvetica" w:hAnsi="Helvetica"/>
          <w:sz w:val="22"/>
          <w:szCs w:val="22"/>
        </w:rPr>
      </w:pPr>
      <w:r w:rsidRPr="00CA4688">
        <w:rPr>
          <w:rFonts w:ascii="Helvetica" w:hAnsi="Helvetica"/>
          <w:sz w:val="22"/>
          <w:szCs w:val="22"/>
        </w:rPr>
        <w:t>People wishing to rebook their second appointment are able to check availability first on the </w:t>
      </w:r>
      <w:hyperlink r:id="rId10" w:tgtFrame="_blank" w:history="1">
        <w:r w:rsidRPr="00CA4688">
          <w:rPr>
            <w:rStyle w:val="Hyperlink"/>
            <w:rFonts w:ascii="Helvetica" w:hAnsi="Helvetica"/>
            <w:sz w:val="22"/>
            <w:szCs w:val="22"/>
          </w:rPr>
          <w:t>national booking service</w:t>
        </w:r>
      </w:hyperlink>
      <w:r w:rsidRPr="00CA4688">
        <w:rPr>
          <w:rFonts w:ascii="Helvetica" w:hAnsi="Helvetica"/>
          <w:sz w:val="22"/>
          <w:szCs w:val="22"/>
        </w:rPr>
        <w:t> before cancelling and rescheduling their existing second dose appointment. </w:t>
      </w:r>
    </w:p>
    <w:p w:rsidR="00CA4688" w:rsidRPr="00CA4688" w:rsidRDefault="00CA4688" w:rsidP="00CA4688">
      <w:pPr>
        <w:rPr>
          <w:rFonts w:ascii="Helvetica" w:hAnsi="Helvetica"/>
          <w:sz w:val="22"/>
          <w:szCs w:val="22"/>
        </w:rPr>
      </w:pPr>
      <w:r w:rsidRPr="00CA4688">
        <w:rPr>
          <w:rFonts w:ascii="Helvetica" w:hAnsi="Helvetica"/>
          <w:sz w:val="22"/>
          <w:szCs w:val="22"/>
        </w:rPr>
        <w:t> </w:t>
      </w:r>
    </w:p>
    <w:p w:rsidR="00CA4688" w:rsidRPr="00CA4688" w:rsidRDefault="00CA4688" w:rsidP="00CA4688">
      <w:pPr>
        <w:rPr>
          <w:rFonts w:ascii="Helvetica" w:hAnsi="Helvetica"/>
          <w:sz w:val="22"/>
          <w:szCs w:val="22"/>
        </w:rPr>
      </w:pPr>
      <w:r w:rsidRPr="00CA4688">
        <w:rPr>
          <w:rFonts w:ascii="Helvetica" w:hAnsi="Helvetica"/>
          <w:sz w:val="22"/>
          <w:szCs w:val="22"/>
        </w:rPr>
        <w:t>You can book a vaccination on the </w:t>
      </w:r>
      <w:hyperlink r:id="rId11" w:tgtFrame="_blank" w:history="1">
        <w:r w:rsidRPr="00CA4688">
          <w:rPr>
            <w:rStyle w:val="Hyperlink"/>
            <w:rFonts w:ascii="Helvetica" w:hAnsi="Helvetica"/>
            <w:sz w:val="22"/>
            <w:szCs w:val="22"/>
          </w:rPr>
          <w:t>national booking service</w:t>
        </w:r>
      </w:hyperlink>
      <w:r w:rsidRPr="00CA4688">
        <w:rPr>
          <w:rFonts w:ascii="Helvetica" w:hAnsi="Helvetica"/>
          <w:sz w:val="22"/>
          <w:szCs w:val="22"/>
        </w:rPr>
        <w:t> (you do not need to wait to be invited) if any of the following apply:</w:t>
      </w:r>
    </w:p>
    <w:p w:rsidR="00CA4688" w:rsidRPr="00CA4688" w:rsidRDefault="00CA4688" w:rsidP="00CA4688">
      <w:pPr>
        <w:numPr>
          <w:ilvl w:val="0"/>
          <w:numId w:val="18"/>
        </w:numPr>
        <w:rPr>
          <w:rFonts w:ascii="Helvetica" w:hAnsi="Helvetica"/>
          <w:sz w:val="22"/>
          <w:szCs w:val="22"/>
        </w:rPr>
      </w:pPr>
      <w:r w:rsidRPr="00CA4688">
        <w:rPr>
          <w:rFonts w:ascii="Helvetica" w:hAnsi="Helvetica"/>
          <w:sz w:val="22"/>
          <w:szCs w:val="22"/>
        </w:rPr>
        <w:t>you’re aged 18 or over</w:t>
      </w:r>
    </w:p>
    <w:p w:rsidR="00CA4688" w:rsidRPr="00CA4688" w:rsidRDefault="00CA4688" w:rsidP="00CA4688">
      <w:pPr>
        <w:numPr>
          <w:ilvl w:val="0"/>
          <w:numId w:val="18"/>
        </w:numPr>
        <w:rPr>
          <w:rFonts w:ascii="Helvetica" w:hAnsi="Helvetica"/>
          <w:sz w:val="22"/>
          <w:szCs w:val="22"/>
        </w:rPr>
      </w:pPr>
      <w:r w:rsidRPr="00CA4688">
        <w:rPr>
          <w:rFonts w:ascii="Helvetica" w:hAnsi="Helvetica"/>
          <w:sz w:val="22"/>
          <w:szCs w:val="22"/>
        </w:rPr>
        <w:t>you’re at high risk from COVID-19 (</w:t>
      </w:r>
      <w:hyperlink r:id="rId12" w:tgtFrame="_blank" w:history="1">
        <w:r w:rsidRPr="00CA4688">
          <w:rPr>
            <w:rStyle w:val="Hyperlink"/>
            <w:rFonts w:ascii="Helvetica" w:hAnsi="Helvetica"/>
            <w:sz w:val="22"/>
            <w:szCs w:val="22"/>
          </w:rPr>
          <w:t>clinically extremely vulnerable</w:t>
        </w:r>
      </w:hyperlink>
      <w:r w:rsidRPr="00CA4688">
        <w:rPr>
          <w:rFonts w:ascii="Helvetica" w:hAnsi="Helvetica"/>
          <w:sz w:val="22"/>
          <w:szCs w:val="22"/>
        </w:rPr>
        <w:t>)</w:t>
      </w:r>
    </w:p>
    <w:p w:rsidR="00CA4688" w:rsidRPr="00CA4688" w:rsidRDefault="00CA4688" w:rsidP="00CA4688">
      <w:pPr>
        <w:numPr>
          <w:ilvl w:val="0"/>
          <w:numId w:val="18"/>
        </w:numPr>
        <w:rPr>
          <w:rFonts w:ascii="Helvetica" w:hAnsi="Helvetica"/>
          <w:sz w:val="22"/>
          <w:szCs w:val="22"/>
        </w:rPr>
      </w:pPr>
      <w:r w:rsidRPr="00CA4688">
        <w:rPr>
          <w:rFonts w:ascii="Helvetica" w:hAnsi="Helvetica"/>
          <w:sz w:val="22"/>
          <w:szCs w:val="22"/>
        </w:rPr>
        <w:t>you have a condition that puts you at higher risk (</w:t>
      </w:r>
      <w:hyperlink r:id="rId13" w:tgtFrame="_blank" w:history="1">
        <w:r w:rsidRPr="00CA4688">
          <w:rPr>
            <w:rStyle w:val="Hyperlink"/>
            <w:rFonts w:ascii="Helvetica" w:hAnsi="Helvetica"/>
            <w:sz w:val="22"/>
            <w:szCs w:val="22"/>
          </w:rPr>
          <w:t>clinically vulnerable</w:t>
        </w:r>
      </w:hyperlink>
      <w:r w:rsidRPr="00CA4688">
        <w:rPr>
          <w:rFonts w:ascii="Helvetica" w:hAnsi="Helvetica"/>
          <w:sz w:val="22"/>
          <w:szCs w:val="22"/>
        </w:rPr>
        <w:t>)</w:t>
      </w:r>
    </w:p>
    <w:p w:rsidR="00CA4688" w:rsidRPr="00CA4688" w:rsidRDefault="00CA4688" w:rsidP="00CA4688">
      <w:pPr>
        <w:numPr>
          <w:ilvl w:val="0"/>
          <w:numId w:val="18"/>
        </w:numPr>
        <w:rPr>
          <w:rFonts w:ascii="Helvetica" w:hAnsi="Helvetica"/>
          <w:sz w:val="22"/>
          <w:szCs w:val="22"/>
        </w:rPr>
      </w:pPr>
      <w:r w:rsidRPr="00CA4688">
        <w:rPr>
          <w:rFonts w:ascii="Helvetica" w:hAnsi="Helvetica"/>
          <w:sz w:val="22"/>
          <w:szCs w:val="22"/>
        </w:rPr>
        <w:t>you have a learning disability</w:t>
      </w:r>
    </w:p>
    <w:p w:rsidR="00CA4688" w:rsidRPr="00CA4688" w:rsidRDefault="00CA4688" w:rsidP="00CA4688">
      <w:pPr>
        <w:numPr>
          <w:ilvl w:val="0"/>
          <w:numId w:val="18"/>
        </w:numPr>
        <w:rPr>
          <w:rFonts w:ascii="Helvetica" w:hAnsi="Helvetica"/>
          <w:sz w:val="22"/>
          <w:szCs w:val="22"/>
        </w:rPr>
      </w:pPr>
      <w:r w:rsidRPr="00CA4688">
        <w:rPr>
          <w:rFonts w:ascii="Helvetica" w:hAnsi="Helvetica"/>
          <w:sz w:val="22"/>
          <w:szCs w:val="22"/>
        </w:rPr>
        <w:t>you’re a frontline health or social care worker</w:t>
      </w:r>
    </w:p>
    <w:p w:rsidR="007F0734" w:rsidRPr="00CA4688" w:rsidRDefault="00CA4688" w:rsidP="007F0734">
      <w:pPr>
        <w:numPr>
          <w:ilvl w:val="0"/>
          <w:numId w:val="18"/>
        </w:numPr>
        <w:rPr>
          <w:rFonts w:ascii="Helvetica" w:hAnsi="Helvetica"/>
          <w:sz w:val="22"/>
          <w:szCs w:val="22"/>
        </w:rPr>
      </w:pPr>
      <w:r w:rsidRPr="00CA4688">
        <w:rPr>
          <w:rFonts w:ascii="Helvetica" w:hAnsi="Helvetica"/>
          <w:sz w:val="22"/>
          <w:szCs w:val="22"/>
        </w:rPr>
        <w:t>you’re a main carer for someone at high risk from COVID-19. </w:t>
      </w:r>
    </w:p>
    <w:p w:rsidR="004B52EE" w:rsidRDefault="004B52EE" w:rsidP="004B52EE">
      <w:pPr>
        <w:rPr>
          <w:rFonts w:ascii="Helvetica" w:hAnsi="Helvetica"/>
          <w:sz w:val="22"/>
          <w:szCs w:val="22"/>
        </w:rPr>
      </w:pPr>
    </w:p>
    <w:p w:rsidR="004B52EE" w:rsidRDefault="004B52EE" w:rsidP="004B52EE">
      <w:pPr>
        <w:rPr>
          <w:rFonts w:ascii="Helvetica" w:hAnsi="Helvetica"/>
          <w:b/>
          <w:bCs/>
          <w:sz w:val="22"/>
          <w:szCs w:val="22"/>
        </w:rPr>
      </w:pPr>
      <w:r w:rsidRPr="004B52EE">
        <w:rPr>
          <w:rFonts w:ascii="Helvetica" w:hAnsi="Helvetica"/>
          <w:b/>
          <w:bCs/>
          <w:sz w:val="22"/>
          <w:szCs w:val="22"/>
        </w:rPr>
        <w:t>Symptom-free testing</w:t>
      </w:r>
    </w:p>
    <w:p w:rsidR="004B52EE" w:rsidRPr="004B52EE" w:rsidRDefault="004B52EE" w:rsidP="004B52EE">
      <w:pPr>
        <w:rPr>
          <w:rFonts w:ascii="Helvetica" w:hAnsi="Helvetica"/>
          <w:sz w:val="22"/>
          <w:szCs w:val="22"/>
        </w:rPr>
      </w:pPr>
      <w:r w:rsidRPr="004B52EE">
        <w:rPr>
          <w:rFonts w:ascii="Helvetica" w:hAnsi="Helvetica"/>
          <w:sz w:val="22"/>
          <w:szCs w:val="22"/>
        </w:rPr>
        <w:t xml:space="preserve">There </w:t>
      </w:r>
      <w:r w:rsidR="00D74A24">
        <w:rPr>
          <w:rFonts w:ascii="Helvetica" w:hAnsi="Helvetica"/>
          <w:sz w:val="22"/>
          <w:szCs w:val="22"/>
        </w:rPr>
        <w:t>are</w:t>
      </w:r>
      <w:r w:rsidRPr="004B52EE">
        <w:rPr>
          <w:rFonts w:ascii="Helvetica" w:hAnsi="Helvetica"/>
          <w:sz w:val="22"/>
          <w:szCs w:val="22"/>
        </w:rPr>
        <w:t xml:space="preserve"> a range of options to access twice-weekly lateral flow tests. These include: ordering a home test kit online; collecting home test kits from pharmacies; or collecting a home test kit from one of the county council’s </w:t>
      </w:r>
      <w:r w:rsidR="00D74A24">
        <w:rPr>
          <w:rFonts w:ascii="Helvetica" w:hAnsi="Helvetica"/>
          <w:sz w:val="22"/>
          <w:szCs w:val="22"/>
        </w:rPr>
        <w:t>libraries.</w:t>
      </w:r>
    </w:p>
    <w:p w:rsidR="004B52EE" w:rsidRPr="004B52EE" w:rsidRDefault="004B52EE" w:rsidP="004B52EE">
      <w:pPr>
        <w:rPr>
          <w:rFonts w:ascii="Helvetica" w:hAnsi="Helvetica"/>
          <w:sz w:val="22"/>
          <w:szCs w:val="22"/>
        </w:rPr>
      </w:pPr>
      <w:r w:rsidRPr="004B52EE">
        <w:rPr>
          <w:rFonts w:ascii="Helvetica" w:hAnsi="Helvetica"/>
          <w:sz w:val="22"/>
          <w:szCs w:val="22"/>
        </w:rPr>
        <w:t>  </w:t>
      </w:r>
    </w:p>
    <w:p w:rsidR="004B52EE" w:rsidRPr="004B52EE" w:rsidRDefault="004B52EE" w:rsidP="004B52EE">
      <w:pPr>
        <w:rPr>
          <w:rFonts w:ascii="Helvetica" w:hAnsi="Helvetica"/>
          <w:sz w:val="22"/>
          <w:szCs w:val="22"/>
        </w:rPr>
      </w:pPr>
      <w:r w:rsidRPr="004B52EE">
        <w:rPr>
          <w:rFonts w:ascii="Helvetica" w:hAnsi="Helvetica"/>
          <w:b/>
          <w:bCs/>
          <w:sz w:val="22"/>
          <w:szCs w:val="22"/>
        </w:rPr>
        <w:t>Symptomatic testing </w:t>
      </w:r>
    </w:p>
    <w:p w:rsidR="004B52EE" w:rsidRPr="004B52EE" w:rsidRDefault="004B52EE" w:rsidP="004B52EE">
      <w:pPr>
        <w:rPr>
          <w:rFonts w:ascii="Helvetica" w:hAnsi="Helvetica"/>
          <w:sz w:val="22"/>
          <w:szCs w:val="22"/>
        </w:rPr>
      </w:pPr>
      <w:r w:rsidRPr="004B52EE">
        <w:rPr>
          <w:rFonts w:ascii="Helvetica" w:hAnsi="Helvetica"/>
          <w:sz w:val="22"/>
          <w:szCs w:val="22"/>
        </w:rPr>
        <w:t>If you have symptoms of COVID-19, you must self-isolate and </w:t>
      </w:r>
      <w:hyperlink r:id="rId14" w:tgtFrame="_blank" w:history="1">
        <w:r w:rsidRPr="004B52EE">
          <w:rPr>
            <w:rStyle w:val="Hyperlink"/>
            <w:rFonts w:ascii="Helvetica" w:hAnsi="Helvetica"/>
            <w:sz w:val="22"/>
            <w:szCs w:val="22"/>
          </w:rPr>
          <w:t>book a PCR test</w:t>
        </w:r>
      </w:hyperlink>
      <w:r w:rsidRPr="004B52EE">
        <w:rPr>
          <w:rFonts w:ascii="Helvetica" w:hAnsi="Helvetica"/>
          <w:sz w:val="22"/>
          <w:szCs w:val="22"/>
        </w:rPr>
        <w:t> as soon as possible. More information is available on the county council’s </w:t>
      </w:r>
      <w:hyperlink r:id="rId15" w:tgtFrame="_blank" w:history="1">
        <w:r w:rsidRPr="004B52EE">
          <w:rPr>
            <w:rStyle w:val="Hyperlink"/>
            <w:rFonts w:ascii="Helvetica" w:hAnsi="Helvetica"/>
            <w:sz w:val="22"/>
            <w:szCs w:val="22"/>
          </w:rPr>
          <w:t>symptom testing pages</w:t>
        </w:r>
      </w:hyperlink>
      <w:r w:rsidRPr="004B52EE">
        <w:rPr>
          <w:rFonts w:ascii="Helvetica" w:hAnsi="Helvetica"/>
          <w:sz w:val="22"/>
          <w:szCs w:val="22"/>
        </w:rPr>
        <w:t>.</w:t>
      </w:r>
    </w:p>
    <w:p w:rsidR="004B52EE" w:rsidRPr="004B52EE" w:rsidRDefault="004B52EE" w:rsidP="004B52EE">
      <w:pPr>
        <w:rPr>
          <w:rFonts w:ascii="Helvetica" w:hAnsi="Helvetica"/>
          <w:sz w:val="22"/>
          <w:szCs w:val="22"/>
        </w:rPr>
      </w:pPr>
      <w:r w:rsidRPr="004B52EE">
        <w:rPr>
          <w:rFonts w:ascii="Helvetica" w:hAnsi="Helvetica"/>
          <w:sz w:val="22"/>
          <w:szCs w:val="22"/>
        </w:rPr>
        <w:t>A reminder of the county’s symptomatic test sites:</w:t>
      </w:r>
    </w:p>
    <w:p w:rsidR="004B52EE" w:rsidRPr="000608C4" w:rsidRDefault="004B52EE" w:rsidP="000608C4">
      <w:pPr>
        <w:pStyle w:val="ListParagraph"/>
        <w:numPr>
          <w:ilvl w:val="0"/>
          <w:numId w:val="17"/>
        </w:numPr>
        <w:rPr>
          <w:rFonts w:ascii="Helvetica" w:hAnsi="Helvetica"/>
          <w:sz w:val="22"/>
          <w:szCs w:val="22"/>
        </w:rPr>
      </w:pPr>
      <w:r w:rsidRPr="000608C4">
        <w:rPr>
          <w:rFonts w:ascii="Helvetica" w:hAnsi="Helvetica"/>
          <w:sz w:val="22"/>
          <w:szCs w:val="22"/>
        </w:rPr>
        <w:t>Oxford Parkway (OX2 8HA)</w:t>
      </w:r>
    </w:p>
    <w:p w:rsidR="004B52EE" w:rsidRPr="000608C4" w:rsidRDefault="004B52EE" w:rsidP="000608C4">
      <w:pPr>
        <w:pStyle w:val="ListParagraph"/>
        <w:numPr>
          <w:ilvl w:val="0"/>
          <w:numId w:val="17"/>
        </w:numPr>
        <w:rPr>
          <w:rFonts w:ascii="Helvetica" w:hAnsi="Helvetica"/>
          <w:sz w:val="22"/>
          <w:szCs w:val="22"/>
        </w:rPr>
      </w:pPr>
      <w:proofErr w:type="spellStart"/>
      <w:r w:rsidRPr="000608C4">
        <w:rPr>
          <w:rFonts w:ascii="Helvetica" w:hAnsi="Helvetica"/>
          <w:sz w:val="22"/>
          <w:szCs w:val="22"/>
        </w:rPr>
        <w:t>Osney</w:t>
      </w:r>
      <w:proofErr w:type="spellEnd"/>
      <w:r w:rsidRPr="000608C4">
        <w:rPr>
          <w:rFonts w:ascii="Helvetica" w:hAnsi="Helvetica"/>
          <w:sz w:val="22"/>
          <w:szCs w:val="22"/>
        </w:rPr>
        <w:t xml:space="preserve"> Lane, Oxford (OX1 1NY)</w:t>
      </w:r>
    </w:p>
    <w:p w:rsidR="004B52EE" w:rsidRPr="000608C4" w:rsidRDefault="004B52EE" w:rsidP="000608C4">
      <w:pPr>
        <w:pStyle w:val="ListParagraph"/>
        <w:numPr>
          <w:ilvl w:val="0"/>
          <w:numId w:val="17"/>
        </w:numPr>
        <w:rPr>
          <w:rFonts w:ascii="Helvetica" w:hAnsi="Helvetica"/>
          <w:sz w:val="22"/>
          <w:szCs w:val="22"/>
        </w:rPr>
      </w:pPr>
      <w:r w:rsidRPr="000608C4">
        <w:rPr>
          <w:rFonts w:ascii="Helvetica" w:hAnsi="Helvetica"/>
          <w:sz w:val="22"/>
          <w:szCs w:val="22"/>
        </w:rPr>
        <w:t>Woodford Way car park, Witney (OX28 6JS)</w:t>
      </w:r>
    </w:p>
    <w:p w:rsidR="00AD2826" w:rsidRPr="000608C4" w:rsidRDefault="004B52EE" w:rsidP="000608C4">
      <w:pPr>
        <w:pStyle w:val="ListParagraph"/>
        <w:numPr>
          <w:ilvl w:val="0"/>
          <w:numId w:val="17"/>
        </w:numPr>
        <w:rPr>
          <w:rFonts w:ascii="Helvetica" w:hAnsi="Helvetica"/>
          <w:sz w:val="22"/>
          <w:szCs w:val="22"/>
        </w:rPr>
      </w:pPr>
      <w:r w:rsidRPr="000608C4">
        <w:rPr>
          <w:rFonts w:ascii="Helvetica" w:hAnsi="Helvetica"/>
          <w:sz w:val="22"/>
          <w:szCs w:val="22"/>
        </w:rPr>
        <w:t>Oxford Brookes University (OX3 0BP).</w:t>
      </w:r>
    </w:p>
    <w:sectPr w:rsidR="00AD2826" w:rsidRPr="000608C4" w:rsidSect="002D633D">
      <w:pgSz w:w="11906" w:h="16838"/>
      <w:pgMar w:top="1020" w:right="1440" w:bottom="82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1613A4"/>
    <w:multiLevelType w:val="multilevel"/>
    <w:tmpl w:val="67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4"/>
  </w:num>
  <w:num w:numId="5">
    <w:abstractNumId w:val="13"/>
  </w:num>
  <w:num w:numId="6">
    <w:abstractNumId w:val="15"/>
  </w:num>
  <w:num w:numId="7">
    <w:abstractNumId w:val="1"/>
  </w:num>
  <w:num w:numId="8">
    <w:abstractNumId w:val="11"/>
  </w:num>
  <w:num w:numId="9">
    <w:abstractNumId w:val="10"/>
  </w:num>
  <w:num w:numId="10">
    <w:abstractNumId w:val="2"/>
  </w:num>
  <w:num w:numId="11">
    <w:abstractNumId w:val="8"/>
  </w:num>
  <w:num w:numId="12">
    <w:abstractNumId w:val="3"/>
  </w:num>
  <w:num w:numId="13">
    <w:abstractNumId w:val="5"/>
  </w:num>
  <w:num w:numId="14">
    <w:abstractNumId w:val="17"/>
  </w:num>
  <w:num w:numId="15">
    <w:abstractNumId w:val="0"/>
  </w:num>
  <w:num w:numId="16">
    <w:abstractNumId w:val="7"/>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B00"/>
    <w:rsid w:val="000260D4"/>
    <w:rsid w:val="00040A98"/>
    <w:rsid w:val="00055CF3"/>
    <w:rsid w:val="000608C4"/>
    <w:rsid w:val="000868AC"/>
    <w:rsid w:val="00162B11"/>
    <w:rsid w:val="001706F2"/>
    <w:rsid w:val="001B1742"/>
    <w:rsid w:val="001E759F"/>
    <w:rsid w:val="00201F3C"/>
    <w:rsid w:val="00246A97"/>
    <w:rsid w:val="002A15E4"/>
    <w:rsid w:val="002D633D"/>
    <w:rsid w:val="00470DB4"/>
    <w:rsid w:val="004B5148"/>
    <w:rsid w:val="004B52EE"/>
    <w:rsid w:val="00500B00"/>
    <w:rsid w:val="006D7F17"/>
    <w:rsid w:val="007843CD"/>
    <w:rsid w:val="007906E3"/>
    <w:rsid w:val="007F0734"/>
    <w:rsid w:val="007F7CA2"/>
    <w:rsid w:val="009130D6"/>
    <w:rsid w:val="00AC3301"/>
    <w:rsid w:val="00AD2826"/>
    <w:rsid w:val="00B659D5"/>
    <w:rsid w:val="00B667C6"/>
    <w:rsid w:val="00B67548"/>
    <w:rsid w:val="00B762C7"/>
    <w:rsid w:val="00BA25D2"/>
    <w:rsid w:val="00C02845"/>
    <w:rsid w:val="00C33A2F"/>
    <w:rsid w:val="00CA4688"/>
    <w:rsid w:val="00CA7833"/>
    <w:rsid w:val="00CB6B78"/>
    <w:rsid w:val="00CC1EB8"/>
    <w:rsid w:val="00D07F3C"/>
    <w:rsid w:val="00D74A24"/>
    <w:rsid w:val="00DC3F5A"/>
    <w:rsid w:val="00DD199A"/>
    <w:rsid w:val="00E075CD"/>
    <w:rsid w:val="00EC2B52"/>
    <w:rsid w:val="00EF4E26"/>
    <w:rsid w:val="00F01043"/>
    <w:rsid w:val="00F11595"/>
    <w:rsid w:val="00FB1E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customStyle="1"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1917280760">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13" Type="http://schemas.openxmlformats.org/officeDocument/2006/relationships/hyperlink" Target="https://www.nhs.uk/conditions/coronavirus-covid-19/coronavirus-vaccination/who-can-get-the-vaccine/" TargetMode="External"/><Relationship Id="rId3" Type="http://schemas.openxmlformats.org/officeDocument/2006/relationships/settings" Target="settings.xml"/><Relationship Id="rId7" Type="http://schemas.openxmlformats.org/officeDocument/2006/relationships/hyperlink" Target="https://www.oxfordshireccg.nhs.uk/your-health/walk-in-vaccine-clinics.htm" TargetMode="External"/><Relationship Id="rId12" Type="http://schemas.openxmlformats.org/officeDocument/2006/relationships/hyperlink" Target="https://www.nhs.uk/conditions/coronavirus-covid-19/coronavirus-vaccination/who-can-get-the-vacc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17171/PHE_12073_COVID-19_guide_for_all_CYP.pdf" TargetMode="External"/><Relationship Id="rId11" Type="http://schemas.openxmlformats.org/officeDocument/2006/relationships/hyperlink" Target="https://www.nhs.uk/conditions/coronavirus-covid-19/coronavirus-vaccination/book-coronavirus-vaccination/" TargetMode="External"/><Relationship Id="rId5" Type="http://schemas.openxmlformats.org/officeDocument/2006/relationships/hyperlink" Target="mailto:robin.bennett@oxfordshire.gov.uk" TargetMode="External"/><Relationship Id="rId15" Type="http://schemas.openxmlformats.org/officeDocument/2006/relationships/hyperlink" Target="https://www.oxfordshire.gov.uk/council/coronavirus-covid-19/prevention-and-testing/symptom-testing" TargetMode="External"/><Relationship Id="rId10" Type="http://schemas.openxmlformats.org/officeDocument/2006/relationships/hyperlink" Target="https://www.nhs.uk/conditions/coronavirus-covid-19/coronavirus-vaccination/book-coronavirus-vaccination/" TargetMode="External"/><Relationship Id="rId4" Type="http://schemas.openxmlformats.org/officeDocument/2006/relationships/webSettings" Target="webSettings.xml"/><Relationship Id="rId9" Type="http://schemas.openxmlformats.org/officeDocument/2006/relationships/hyperlink" Target="https://www.england.nhs.uk/statistics/statistical-work-areas/covid-19-vaccinations/" TargetMode="External"/><Relationship Id="rId14"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Robin</dc:creator>
  <cp:lastModifiedBy>User</cp:lastModifiedBy>
  <cp:revision>2</cp:revision>
  <cp:lastPrinted>2021-10-04T12:21:00Z</cp:lastPrinted>
  <dcterms:created xsi:type="dcterms:W3CDTF">2021-10-04T12:21:00Z</dcterms:created>
  <dcterms:modified xsi:type="dcterms:W3CDTF">2021-10-04T12:21:00Z</dcterms:modified>
</cp:coreProperties>
</file>